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5" w:rsidRDefault="004D6F25" w:rsidP="004D6F25">
      <w:pPr>
        <w:rPr>
          <w:b/>
        </w:rPr>
      </w:pPr>
      <w:r w:rsidRPr="00665213">
        <w:rPr>
          <w:b/>
        </w:rPr>
        <w:t xml:space="preserve">Sadece kapatma değil </w:t>
      </w:r>
      <w:r>
        <w:rPr>
          <w:b/>
        </w:rPr>
        <w:t>, (sağlam</w:t>
      </w:r>
      <w:r w:rsidRPr="00665213">
        <w:rPr>
          <w:b/>
        </w:rPr>
        <w:t xml:space="preserve"> kapatma) SURESEAL </w:t>
      </w:r>
    </w:p>
    <w:p w:rsidR="0026041F" w:rsidRDefault="004D6F25" w:rsidP="004D6F25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7719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25" w:rsidRDefault="004D6F25" w:rsidP="004D6F25">
      <w:pPr>
        <w:spacing w:after="0" w:line="240" w:lineRule="auto"/>
        <w:jc w:val="center"/>
        <w:rPr>
          <w:sz w:val="24"/>
          <w:szCs w:val="24"/>
        </w:rPr>
      </w:pPr>
      <w:r w:rsidRPr="00665213">
        <w:rPr>
          <w:sz w:val="24"/>
          <w:szCs w:val="24"/>
        </w:rPr>
        <w:t>TÜP KAPATICI</w:t>
      </w:r>
    </w:p>
    <w:p w:rsidR="004D6F25" w:rsidRDefault="004D6F25" w:rsidP="004D6F25">
      <w:pPr>
        <w:spacing w:after="0" w:line="240" w:lineRule="auto"/>
        <w:rPr>
          <w:sz w:val="24"/>
          <w:szCs w:val="24"/>
        </w:rPr>
      </w:pPr>
    </w:p>
    <w:p w:rsidR="004D6F25" w:rsidRDefault="004D6F25" w:rsidP="004D6F25">
      <w:pPr>
        <w:spacing w:after="0" w:line="240" w:lineRule="auto"/>
        <w:rPr>
          <w:sz w:val="24"/>
          <w:szCs w:val="24"/>
        </w:rPr>
      </w:pPr>
    </w:p>
    <w:p w:rsidR="004D6F25" w:rsidRDefault="004D6F25" w:rsidP="004D6F25">
      <w:pPr>
        <w:spacing w:after="0" w:line="240" w:lineRule="auto"/>
        <w:rPr>
          <w:sz w:val="24"/>
          <w:szCs w:val="24"/>
        </w:rPr>
      </w:pPr>
    </w:p>
    <w:p w:rsidR="004D6F25" w:rsidRPr="00EA71A9" w:rsidRDefault="004D6F25" w:rsidP="004D6F2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Dayanıklı tüp kapatma için profesyonel seçim</w:t>
      </w:r>
    </w:p>
    <w:p w:rsidR="004D6F25" w:rsidRPr="00EA71A9" w:rsidRDefault="004D6F25" w:rsidP="004D6F25">
      <w:pPr>
        <w:spacing w:after="0" w:line="240" w:lineRule="auto"/>
        <w:rPr>
          <w:sz w:val="24"/>
          <w:szCs w:val="24"/>
        </w:rPr>
      </w:pPr>
      <w:proofErr w:type="spellStart"/>
      <w:r w:rsidRPr="00EA71A9">
        <w:rPr>
          <w:i/>
          <w:sz w:val="24"/>
          <w:szCs w:val="24"/>
        </w:rPr>
        <w:t>SureSeal</w:t>
      </w:r>
      <w:proofErr w:type="spellEnd"/>
      <w:r>
        <w:rPr>
          <w:sz w:val="24"/>
          <w:szCs w:val="24"/>
        </w:rPr>
        <w:t>™ SE26</w:t>
      </w:r>
      <w:r w:rsidRPr="00EA71A9">
        <w:rPr>
          <w:sz w:val="24"/>
          <w:szCs w:val="24"/>
        </w:rPr>
        <w:t xml:space="preserve">0 </w:t>
      </w:r>
      <w:proofErr w:type="gramStart"/>
      <w:r>
        <w:rPr>
          <w:sz w:val="24"/>
          <w:szCs w:val="24"/>
        </w:rPr>
        <w:t>entegre</w:t>
      </w:r>
      <w:proofErr w:type="gramEnd"/>
      <w:r>
        <w:rPr>
          <w:sz w:val="24"/>
          <w:szCs w:val="24"/>
        </w:rPr>
        <w:t xml:space="preserve"> kapatma başı ve </w:t>
      </w:r>
      <w:proofErr w:type="spellStart"/>
      <w:r>
        <w:rPr>
          <w:sz w:val="24"/>
          <w:szCs w:val="24"/>
        </w:rPr>
        <w:t>opsiyonel</w:t>
      </w:r>
      <w:proofErr w:type="spellEnd"/>
      <w:r>
        <w:rPr>
          <w:sz w:val="24"/>
          <w:szCs w:val="24"/>
        </w:rPr>
        <w:t xml:space="preserve"> kapatma el ünitesi ile AC ile çalışan tezgah üstü tüp kapatıcıdır. Yeni kapatma teknolojisi ve zorunlu güvenilirliği SE260’ı iddialı birçok ortam için ideal hale getirmiştir. </w:t>
      </w:r>
      <w:r w:rsidRPr="00EA71A9">
        <w:rPr>
          <w:sz w:val="24"/>
          <w:szCs w:val="24"/>
        </w:rPr>
        <w:t xml:space="preserve"> </w:t>
      </w:r>
    </w:p>
    <w:p w:rsidR="004D6F25" w:rsidRPr="00EA71A9" w:rsidRDefault="004D6F25" w:rsidP="004D6F25">
      <w:pPr>
        <w:spacing w:after="0" w:line="240" w:lineRule="auto"/>
        <w:rPr>
          <w:sz w:val="24"/>
          <w:szCs w:val="24"/>
        </w:rPr>
      </w:pPr>
    </w:p>
    <w:p w:rsidR="004D6F25" w:rsidRPr="00EA71A9" w:rsidRDefault="004D6F25" w:rsidP="004D6F25">
      <w:pPr>
        <w:pStyle w:val="ListeParagraf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A71A9">
        <w:rPr>
          <w:b/>
          <w:sz w:val="24"/>
          <w:szCs w:val="24"/>
        </w:rPr>
        <w:t xml:space="preserve">Özellikler  </w:t>
      </w:r>
    </w:p>
    <w:p w:rsidR="004D6F25" w:rsidRPr="00EA71A9" w:rsidRDefault="004D6F25" w:rsidP="004D6F25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 w:rsidRPr="00EA71A9">
        <w:rPr>
          <w:sz w:val="24"/>
          <w:szCs w:val="24"/>
        </w:rPr>
        <w:t xml:space="preserve">Ayrıcalıklı kapatma kalitesi- yeni geniş kapatma teknolojisi </w:t>
      </w:r>
    </w:p>
    <w:p w:rsidR="004D6F25" w:rsidRDefault="004D6F25" w:rsidP="004D6F25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 w:rsidRPr="00EA71A9">
        <w:rPr>
          <w:sz w:val="24"/>
          <w:szCs w:val="24"/>
        </w:rPr>
        <w:t>Kolay kullanım, hızlı kapatma, ısıtma gerekli değil</w:t>
      </w:r>
    </w:p>
    <w:p w:rsidR="004D6F25" w:rsidRPr="00EA71A9" w:rsidRDefault="004D6F25" w:rsidP="004D6F25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Kapatma el ünitesi hazır </w:t>
      </w:r>
    </w:p>
    <w:p w:rsidR="004D6F25" w:rsidRPr="00EA71A9" w:rsidRDefault="004D6F25" w:rsidP="004D6F25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 w:rsidRPr="00EA71A9">
        <w:rPr>
          <w:sz w:val="24"/>
          <w:szCs w:val="24"/>
        </w:rPr>
        <w:t xml:space="preserve">Otomatik </w:t>
      </w:r>
      <w:proofErr w:type="spellStart"/>
      <w:r w:rsidRPr="00EA71A9">
        <w:rPr>
          <w:sz w:val="24"/>
          <w:szCs w:val="24"/>
        </w:rPr>
        <w:t>tübaj</w:t>
      </w:r>
      <w:proofErr w:type="spellEnd"/>
      <w:r w:rsidRPr="00EA71A9">
        <w:rPr>
          <w:sz w:val="24"/>
          <w:szCs w:val="24"/>
        </w:rPr>
        <w:t xml:space="preserve"> tespiti </w:t>
      </w:r>
    </w:p>
    <w:p w:rsidR="004D6F25" w:rsidRPr="00EA71A9" w:rsidRDefault="004D6F25" w:rsidP="004D6F25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Kapatma ilerleyişini göstermek için LED gösterge </w:t>
      </w:r>
      <w:r w:rsidRPr="00EA71A9">
        <w:rPr>
          <w:sz w:val="24"/>
          <w:szCs w:val="24"/>
        </w:rPr>
        <w:t xml:space="preserve"> </w:t>
      </w:r>
    </w:p>
    <w:p w:rsidR="004D6F25" w:rsidRPr="00EA71A9" w:rsidRDefault="004D6F25" w:rsidP="004D6F25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 w:rsidRPr="00EA71A9">
        <w:rPr>
          <w:sz w:val="24"/>
          <w:szCs w:val="24"/>
        </w:rPr>
        <w:t xml:space="preserve">Geniş çaplı kan torbası </w:t>
      </w:r>
      <w:proofErr w:type="spellStart"/>
      <w:r w:rsidRPr="00EA71A9">
        <w:rPr>
          <w:sz w:val="24"/>
          <w:szCs w:val="24"/>
        </w:rPr>
        <w:t>tübajına</w:t>
      </w:r>
      <w:proofErr w:type="spellEnd"/>
      <w:r w:rsidRPr="00EA71A9">
        <w:rPr>
          <w:sz w:val="24"/>
          <w:szCs w:val="24"/>
        </w:rPr>
        <w:t xml:space="preserve"> uygulanabilir</w:t>
      </w:r>
    </w:p>
    <w:p w:rsidR="004D6F25" w:rsidRPr="00EA71A9" w:rsidRDefault="004D6F25" w:rsidP="004D6F25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 w:rsidRPr="00EA71A9">
        <w:rPr>
          <w:sz w:val="24"/>
          <w:szCs w:val="24"/>
        </w:rPr>
        <w:t xml:space="preserve">Kullanıcı güvenliği için ısı koruyucu/ sıçrama siperliği </w:t>
      </w:r>
    </w:p>
    <w:p w:rsidR="004D6F25" w:rsidRDefault="004D6F25" w:rsidP="004D6F25">
      <w:pPr>
        <w:spacing w:after="0" w:line="240" w:lineRule="auto"/>
      </w:pPr>
    </w:p>
    <w:p w:rsidR="004D6F25" w:rsidRDefault="004D6F25" w:rsidP="004D6F25">
      <w:pPr>
        <w:pStyle w:val="ListeParagraf"/>
        <w:spacing w:after="0" w:line="240" w:lineRule="auto"/>
        <w:ind w:left="993"/>
      </w:pPr>
    </w:p>
    <w:p w:rsidR="004D6F25" w:rsidRDefault="004D6F25" w:rsidP="004D6F25">
      <w:pPr>
        <w:pStyle w:val="ListeParagraf"/>
        <w:spacing w:after="0" w:line="240" w:lineRule="auto"/>
        <w:ind w:left="993"/>
      </w:pPr>
    </w:p>
    <w:p w:rsidR="004D6F25" w:rsidRDefault="004D6F25" w:rsidP="004D6F25">
      <w:pPr>
        <w:pStyle w:val="ListeParagraf"/>
        <w:spacing w:after="0" w:line="240" w:lineRule="auto"/>
        <w:ind w:left="567" w:hanging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276225"/>
            <wp:effectExtent l="19050" t="0" r="0" b="0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25" w:rsidRDefault="004D6F25" w:rsidP="004D6F25">
      <w:pPr>
        <w:pStyle w:val="ListeParagraf"/>
        <w:spacing w:after="0" w:line="240" w:lineRule="auto"/>
        <w:ind w:left="567" w:hanging="567"/>
        <w:jc w:val="center"/>
        <w:rPr>
          <w:sz w:val="16"/>
          <w:szCs w:val="16"/>
        </w:rPr>
      </w:pPr>
      <w:r>
        <w:rPr>
          <w:sz w:val="16"/>
          <w:szCs w:val="16"/>
        </w:rPr>
        <w:t>Daha akılcı</w:t>
      </w:r>
      <w:r w:rsidRPr="00D8207A">
        <w:rPr>
          <w:sz w:val="16"/>
          <w:szCs w:val="16"/>
        </w:rPr>
        <w:t xml:space="preserve"> bir kan bankacılığı için akıllı çözümler</w:t>
      </w:r>
    </w:p>
    <w:p w:rsidR="004D6F25" w:rsidRDefault="004D6F25" w:rsidP="004D6F25">
      <w:pPr>
        <w:pStyle w:val="ListeParagraf"/>
        <w:spacing w:after="0" w:line="240" w:lineRule="auto"/>
        <w:ind w:left="993"/>
      </w:pPr>
    </w:p>
    <w:p w:rsidR="004D6F25" w:rsidRDefault="004D6F25" w:rsidP="004D6F25">
      <w:pPr>
        <w:pStyle w:val="ListeParagraf"/>
        <w:spacing w:after="0" w:line="240" w:lineRule="auto"/>
        <w:ind w:left="993"/>
      </w:pPr>
    </w:p>
    <w:p w:rsidR="004D6F25" w:rsidRDefault="004D6F25"/>
    <w:p w:rsidR="004D6F25" w:rsidRDefault="004D6F25" w:rsidP="004D6F25">
      <w:pPr>
        <w:pStyle w:val="ListeParagraf"/>
        <w:spacing w:after="0" w:line="240" w:lineRule="auto"/>
        <w:ind w:left="993" w:hanging="993"/>
        <w:rPr>
          <w:b/>
        </w:rPr>
      </w:pPr>
      <w:r w:rsidRPr="00EA71A9">
        <w:rPr>
          <w:b/>
        </w:rPr>
        <w:lastRenderedPageBreak/>
        <w:t xml:space="preserve">Yeni gelişmiş kapatma başı </w:t>
      </w:r>
    </w:p>
    <w:p w:rsidR="004D6F25" w:rsidRDefault="004D6F25" w:rsidP="004D6F25">
      <w:pPr>
        <w:pStyle w:val="ListeParagraf"/>
        <w:spacing w:after="0" w:line="240" w:lineRule="auto"/>
        <w:ind w:left="993" w:hanging="993"/>
        <w:rPr>
          <w:b/>
        </w:rPr>
      </w:pPr>
    </w:p>
    <w:p w:rsidR="004D6F25" w:rsidRDefault="004D6F25" w:rsidP="004D6F25">
      <w:pPr>
        <w:pStyle w:val="ListeParagraf"/>
        <w:numPr>
          <w:ilvl w:val="0"/>
          <w:numId w:val="3"/>
        </w:numPr>
        <w:spacing w:after="0" w:line="240" w:lineRule="auto"/>
        <w:ind w:left="284" w:hanging="284"/>
      </w:pPr>
      <w:r>
        <w:t xml:space="preserve">Yeni kapatma teknolojisi geniş kapatma yüzeyleri ile kalın ve hassas tüplerin bile güvenle kapatılmasını temin eder. </w:t>
      </w:r>
    </w:p>
    <w:p w:rsidR="004D6F25" w:rsidRDefault="004D6F25" w:rsidP="004D6F25">
      <w:pPr>
        <w:pStyle w:val="ListeParagraf"/>
        <w:numPr>
          <w:ilvl w:val="0"/>
          <w:numId w:val="3"/>
        </w:numPr>
        <w:spacing w:after="0" w:line="240" w:lineRule="auto"/>
        <w:ind w:left="284" w:hanging="284"/>
      </w:pPr>
      <w:r>
        <w:t xml:space="preserve">Otomatik </w:t>
      </w:r>
      <w:proofErr w:type="spellStart"/>
      <w:r>
        <w:t>tübaj</w:t>
      </w:r>
      <w:proofErr w:type="spellEnd"/>
      <w:r>
        <w:t xml:space="preserve"> tespiti ile tüp kapatma başına yerleştirildiğinde kapatma otomatik olarak başlar. </w:t>
      </w:r>
    </w:p>
    <w:p w:rsidR="004D6F25" w:rsidRDefault="004D6F25" w:rsidP="004D6F25">
      <w:pPr>
        <w:pStyle w:val="ListeParagraf"/>
        <w:numPr>
          <w:ilvl w:val="0"/>
          <w:numId w:val="3"/>
        </w:numPr>
        <w:spacing w:after="0" w:line="240" w:lineRule="auto"/>
        <w:ind w:left="284" w:hanging="284"/>
      </w:pPr>
      <w:r>
        <w:t xml:space="preserve">Güvenli ve kolay çalıştırma için yarı şeffaf baş koruyucu (çıkarılabilir, temizlenmesi kolay) </w:t>
      </w:r>
    </w:p>
    <w:p w:rsidR="004D6F25" w:rsidRDefault="004D6F25" w:rsidP="004D6F25">
      <w:pPr>
        <w:pStyle w:val="ListeParagraf"/>
        <w:numPr>
          <w:ilvl w:val="0"/>
          <w:numId w:val="3"/>
        </w:numPr>
        <w:spacing w:after="0" w:line="240" w:lineRule="auto"/>
        <w:ind w:left="284" w:hanging="284"/>
      </w:pPr>
      <w:r>
        <w:t>Uygulanabilir tüp çapı 2-6 mm (1/4”)</w:t>
      </w:r>
    </w:p>
    <w:p w:rsidR="004D6F25" w:rsidRDefault="005D73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6.15pt;margin-top:52.95pt;width:194.25pt;height:31.6pt;z-index:251660288;mso-height-percent:200;mso-height-percent:200;mso-width-relative:margin;mso-height-relative:margin" stroked="f">
            <v:textbox style="mso-fit-shape-to-text:t">
              <w:txbxContent>
                <w:p w:rsidR="005D736B" w:rsidRPr="00B51B4A" w:rsidRDefault="005D736B" w:rsidP="005D736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Gösterge lambası </w:t>
                  </w:r>
                </w:p>
                <w:p w:rsidR="005D736B" w:rsidRPr="00B51B4A" w:rsidRDefault="005D736B" w:rsidP="005D736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51B4A"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 xml:space="preserve">Kapatma ilerleyişini gösterir </w:t>
                  </w:r>
                  <w:r w:rsidRPr="00B51B4A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5D736B">
        <w:rPr>
          <w:b/>
          <w:noProof/>
        </w:rPr>
        <w:pict>
          <v:shape id="_x0000_s1027" type="#_x0000_t202" style="position:absolute;margin-left:256.15pt;margin-top:126.45pt;width:216.55pt;height:43.8pt;z-index:251659264;mso-height-percent:200;mso-height-percent:200;mso-width-relative:margin;mso-height-relative:margin" stroked="f">
            <v:textbox style="mso-fit-shape-to-text:t">
              <w:txbxContent>
                <w:p w:rsidR="005D736B" w:rsidRPr="00B51B4A" w:rsidRDefault="005D736B" w:rsidP="005D736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Merkezinde çentik ile kapatılmış geniş yüzey </w:t>
                  </w:r>
                </w:p>
                <w:p w:rsidR="005D736B" w:rsidRDefault="005D736B" w:rsidP="005D736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51B4A"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 xml:space="preserve">Güvenilir kapatma kalitesi sızıntıları önler </w:t>
                  </w:r>
                </w:p>
                <w:p w:rsidR="005D736B" w:rsidRPr="00B51B4A" w:rsidRDefault="005D736B" w:rsidP="005D736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-Bölünmesi kolay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55.4pt;margin-top:2.55pt;width:204.25pt;height:44.55pt;z-index:251658240;mso-height-percent:200;mso-height-percent:200;mso-width-relative:margin;mso-height-relative:margin">
            <v:textbox style="mso-fit-shape-to-text:t">
              <w:txbxContent>
                <w:p w:rsidR="005D736B" w:rsidRPr="00B51B4A" w:rsidRDefault="005D736B" w:rsidP="005D736B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51B4A">
                    <w:rPr>
                      <w:b/>
                      <w:sz w:val="20"/>
                      <w:szCs w:val="20"/>
                    </w:rPr>
                    <w:t xml:space="preserve">Sıçrama siperliği </w:t>
                  </w:r>
                </w:p>
                <w:p w:rsidR="005D736B" w:rsidRPr="00B51B4A" w:rsidRDefault="005D736B" w:rsidP="005D736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51B4A">
                    <w:rPr>
                      <w:sz w:val="20"/>
                      <w:szCs w:val="20"/>
                    </w:rPr>
                    <w:t>- Kullanıcıları kazara kan sıçramasından korur</w:t>
                  </w:r>
                </w:p>
                <w:p w:rsidR="005D736B" w:rsidRPr="00B51B4A" w:rsidRDefault="005D736B" w:rsidP="005D736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51B4A">
                    <w:rPr>
                      <w:sz w:val="20"/>
                      <w:szCs w:val="20"/>
                    </w:rPr>
                    <w:t xml:space="preserve">- Çıkarılabilir, temizlenmesi kolay </w:t>
                  </w:r>
                </w:p>
              </w:txbxContent>
            </v:textbox>
          </v:shape>
        </w:pict>
      </w:r>
      <w:r w:rsidR="004D6F25">
        <w:rPr>
          <w:noProof/>
        </w:rPr>
        <w:drawing>
          <wp:inline distT="0" distB="0" distL="0" distR="0">
            <wp:extent cx="6067425" cy="2800350"/>
            <wp:effectExtent l="1905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6B" w:rsidRPr="005D736B" w:rsidRDefault="005D736B" w:rsidP="005D736B">
      <w:pPr>
        <w:spacing w:after="0" w:line="240" w:lineRule="auto"/>
        <w:rPr>
          <w:b/>
        </w:rPr>
      </w:pPr>
      <w:r w:rsidRPr="005D736B">
        <w:rPr>
          <w:b/>
        </w:rPr>
        <w:t xml:space="preserve">Kapatma el ünitesi hazır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D736B" w:rsidTr="005D736B">
        <w:tc>
          <w:tcPr>
            <w:tcW w:w="4606" w:type="dxa"/>
          </w:tcPr>
          <w:p w:rsidR="005D736B" w:rsidRPr="005D736B" w:rsidRDefault="005D736B" w:rsidP="005D736B">
            <w:pPr>
              <w:pStyle w:val="ListeParagraf"/>
              <w:numPr>
                <w:ilvl w:val="0"/>
                <w:numId w:val="4"/>
              </w:numPr>
              <w:ind w:left="284" w:hanging="284"/>
              <w:rPr>
                <w:sz w:val="20"/>
                <w:szCs w:val="20"/>
              </w:rPr>
            </w:pPr>
            <w:r w:rsidRPr="005D736B">
              <w:rPr>
                <w:sz w:val="20"/>
                <w:szCs w:val="20"/>
              </w:rPr>
              <w:t xml:space="preserve">İlave takma tip </w:t>
            </w:r>
            <w:proofErr w:type="spellStart"/>
            <w:r w:rsidRPr="005D736B">
              <w:rPr>
                <w:sz w:val="20"/>
                <w:szCs w:val="20"/>
              </w:rPr>
              <w:t>SureSeal</w:t>
            </w:r>
            <w:proofErr w:type="spellEnd"/>
            <w:r w:rsidRPr="005D736B">
              <w:rPr>
                <w:sz w:val="20"/>
                <w:szCs w:val="20"/>
              </w:rPr>
              <w:t xml:space="preserve">™ kapatma el ünitesi </w:t>
            </w:r>
          </w:p>
          <w:p w:rsidR="005D736B" w:rsidRPr="005D736B" w:rsidRDefault="005D736B" w:rsidP="005D736B">
            <w:pPr>
              <w:pStyle w:val="ListeParagraf"/>
              <w:numPr>
                <w:ilvl w:val="0"/>
                <w:numId w:val="4"/>
              </w:numPr>
              <w:ind w:left="284" w:hanging="284"/>
              <w:rPr>
                <w:sz w:val="20"/>
                <w:szCs w:val="20"/>
              </w:rPr>
            </w:pPr>
            <w:r w:rsidRPr="005D736B">
              <w:rPr>
                <w:sz w:val="20"/>
                <w:szCs w:val="20"/>
              </w:rPr>
              <w:t xml:space="preserve">Standart </w:t>
            </w:r>
            <w:proofErr w:type="gramStart"/>
            <w:r w:rsidRPr="005D736B">
              <w:rPr>
                <w:sz w:val="20"/>
                <w:szCs w:val="20"/>
              </w:rPr>
              <w:t>1.8</w:t>
            </w:r>
            <w:proofErr w:type="gramEnd"/>
            <w:r w:rsidRPr="005D736B">
              <w:rPr>
                <w:sz w:val="20"/>
                <w:szCs w:val="20"/>
              </w:rPr>
              <w:t xml:space="preserve"> m (6 fit) kablo ile ergonomik tasarım </w:t>
            </w:r>
          </w:p>
          <w:p w:rsidR="005D736B" w:rsidRDefault="005D736B" w:rsidP="005D736B">
            <w:pPr>
              <w:pStyle w:val="ListeParagraf"/>
              <w:numPr>
                <w:ilvl w:val="0"/>
                <w:numId w:val="4"/>
              </w:numPr>
              <w:ind w:left="284" w:hanging="284"/>
            </w:pPr>
            <w:r w:rsidRPr="005D736B">
              <w:rPr>
                <w:sz w:val="20"/>
                <w:szCs w:val="20"/>
              </w:rPr>
              <w:t>Çeşitli çalışma şartlarını sağlar</w:t>
            </w:r>
            <w:r>
              <w:t xml:space="preserve"> </w:t>
            </w:r>
          </w:p>
        </w:tc>
        <w:tc>
          <w:tcPr>
            <w:tcW w:w="4606" w:type="dxa"/>
            <w:vMerge w:val="restart"/>
          </w:tcPr>
          <w:p w:rsidR="005D736B" w:rsidRDefault="005D736B" w:rsidP="005D736B">
            <w:r>
              <w:rPr>
                <w:noProof/>
              </w:rPr>
              <w:drawing>
                <wp:inline distT="0" distB="0" distL="0" distR="0">
                  <wp:extent cx="2676525" cy="1762125"/>
                  <wp:effectExtent l="19050" t="0" r="9525" b="0"/>
                  <wp:docPr id="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36B" w:rsidTr="005D736B">
        <w:tc>
          <w:tcPr>
            <w:tcW w:w="4606" w:type="dxa"/>
          </w:tcPr>
          <w:p w:rsidR="005D736B" w:rsidRDefault="005D736B">
            <w:r>
              <w:rPr>
                <w:noProof/>
              </w:rPr>
              <w:drawing>
                <wp:inline distT="0" distB="0" distL="0" distR="0">
                  <wp:extent cx="2657475" cy="1152525"/>
                  <wp:effectExtent l="19050" t="0" r="9525" b="0"/>
                  <wp:docPr id="6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Merge/>
          </w:tcPr>
          <w:p w:rsidR="005D736B" w:rsidRDefault="005D736B"/>
        </w:tc>
      </w:tr>
    </w:tbl>
    <w:p w:rsidR="005D736B" w:rsidRDefault="005D736B"/>
    <w:p w:rsidR="005D736B" w:rsidRPr="00DF308B" w:rsidRDefault="005D736B" w:rsidP="005D736B">
      <w:pPr>
        <w:pStyle w:val="ListeParagraf"/>
        <w:spacing w:after="0" w:line="240" w:lineRule="auto"/>
        <w:ind w:left="567" w:hanging="567"/>
        <w:rPr>
          <w:b/>
        </w:rPr>
      </w:pPr>
      <w:r w:rsidRPr="00DF308B">
        <w:rPr>
          <w:b/>
        </w:rPr>
        <w:t xml:space="preserve">Özellikler </w:t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  <w:t xml:space="preserve">              Bilgi </w:t>
      </w:r>
    </w:p>
    <w:tbl>
      <w:tblPr>
        <w:tblStyle w:val="TabloKlavuzu"/>
        <w:tblW w:w="0" w:type="auto"/>
        <w:tblInd w:w="-318" w:type="dxa"/>
        <w:tblLook w:val="04A0"/>
      </w:tblPr>
      <w:tblGrid>
        <w:gridCol w:w="852"/>
        <w:gridCol w:w="269"/>
        <w:gridCol w:w="4464"/>
        <w:gridCol w:w="235"/>
        <w:gridCol w:w="3786"/>
      </w:tblGrid>
      <w:tr w:rsidR="005D736B" w:rsidTr="003508CC">
        <w:tc>
          <w:tcPr>
            <w:tcW w:w="852" w:type="dxa"/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Ürün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Tüp kapatıcı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  <w:tc>
          <w:tcPr>
            <w:tcW w:w="3786" w:type="dxa"/>
            <w:vMerge w:val="restart"/>
            <w:tcBorders>
              <w:lef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  <w:r>
              <w:rPr>
                <w:noProof/>
              </w:rPr>
              <w:drawing>
                <wp:inline distT="0" distB="0" distL="0" distR="0">
                  <wp:extent cx="638175" cy="457200"/>
                  <wp:effectExtent l="19050" t="0" r="9525" b="0"/>
                  <wp:docPr id="7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36B" w:rsidTr="003508CC">
        <w:tc>
          <w:tcPr>
            <w:tcW w:w="852" w:type="dxa"/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Model 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SE260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</w:tr>
      <w:tr w:rsidR="005D736B" w:rsidTr="003508CC">
        <w:tc>
          <w:tcPr>
            <w:tcW w:w="852" w:type="dxa"/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Güç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100-240V </w:t>
            </w:r>
            <w:r w:rsidRPr="00EA6518">
              <w:rPr>
                <w:sz w:val="16"/>
                <w:szCs w:val="16"/>
              </w:rPr>
              <w:sym w:font="Symbol" w:char="F07E"/>
            </w:r>
            <w:r w:rsidRPr="00EA6518">
              <w:rPr>
                <w:sz w:val="16"/>
                <w:szCs w:val="16"/>
              </w:rPr>
              <w:t xml:space="preserve"> 50/</w:t>
            </w:r>
            <w:proofErr w:type="gramStart"/>
            <w:r w:rsidRPr="00EA6518">
              <w:rPr>
                <w:sz w:val="16"/>
                <w:szCs w:val="16"/>
              </w:rPr>
              <w:t xml:space="preserve">60Hz </w:t>
            </w:r>
            <w:r>
              <w:rPr>
                <w:sz w:val="16"/>
                <w:szCs w:val="16"/>
              </w:rPr>
              <w:t xml:space="preserve"> 250</w:t>
            </w:r>
            <w:proofErr w:type="gramEnd"/>
            <w:r>
              <w:rPr>
                <w:sz w:val="16"/>
                <w:szCs w:val="16"/>
              </w:rPr>
              <w:t xml:space="preserve">  W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36B" w:rsidRPr="0050619F" w:rsidRDefault="005D736B" w:rsidP="003508CC">
            <w:pPr>
              <w:pStyle w:val="ListeParagraf"/>
              <w:ind w:left="0"/>
              <w:rPr>
                <w:b/>
              </w:rPr>
            </w:pPr>
            <w:r w:rsidRPr="0050619F">
              <w:rPr>
                <w:b/>
              </w:rPr>
              <w:t xml:space="preserve">Distribütör </w:t>
            </w:r>
          </w:p>
        </w:tc>
      </w:tr>
      <w:tr w:rsidR="005D736B" w:rsidTr="003508CC">
        <w:tc>
          <w:tcPr>
            <w:tcW w:w="852" w:type="dxa"/>
          </w:tcPr>
          <w:p w:rsidR="005D736B" w:rsidRPr="00DF308B" w:rsidRDefault="005D736B" w:rsidP="003508CC">
            <w:pPr>
              <w:pStyle w:val="ListeParagraf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Boyut 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 </w:t>
            </w:r>
            <w:r w:rsidRPr="00EA6518">
              <w:rPr>
                <w:sz w:val="16"/>
                <w:szCs w:val="16"/>
              </w:rPr>
              <w:t xml:space="preserve"> </w:t>
            </w:r>
            <w:r w:rsidRPr="00EA6518">
              <w:rPr>
                <w:sz w:val="14"/>
                <w:szCs w:val="14"/>
              </w:rPr>
              <w:t>(genişlik)</w:t>
            </w:r>
            <w:r>
              <w:rPr>
                <w:sz w:val="16"/>
                <w:szCs w:val="16"/>
              </w:rPr>
              <w:t xml:space="preserve"> mm/ 302 </w:t>
            </w:r>
            <w:r w:rsidRPr="00EA6518">
              <w:rPr>
                <w:sz w:val="16"/>
                <w:szCs w:val="16"/>
              </w:rPr>
              <w:t xml:space="preserve"> </w:t>
            </w:r>
            <w:r w:rsidRPr="00EA6518">
              <w:rPr>
                <w:sz w:val="14"/>
                <w:szCs w:val="14"/>
              </w:rPr>
              <w:t>(uzunluk)</w:t>
            </w:r>
            <w:r w:rsidRPr="00EA65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mm /243 </w:t>
            </w:r>
            <w:r w:rsidRPr="00EA6518">
              <w:rPr>
                <w:sz w:val="16"/>
                <w:szCs w:val="16"/>
              </w:rPr>
              <w:t xml:space="preserve"> </w:t>
            </w:r>
            <w:r w:rsidRPr="00EA6518">
              <w:rPr>
                <w:sz w:val="14"/>
                <w:szCs w:val="14"/>
              </w:rPr>
              <w:t>(yükseklik)</w:t>
            </w:r>
            <w:r w:rsidRPr="00EA6518">
              <w:rPr>
                <w:sz w:val="16"/>
                <w:szCs w:val="16"/>
              </w:rPr>
              <w:t xml:space="preserve"> mm</w:t>
            </w:r>
          </w:p>
          <w:p w:rsidR="005D736B" w:rsidRPr="00DF308B" w:rsidRDefault="005D736B" w:rsidP="003508CC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  <w:p w:rsidR="005D736B" w:rsidRDefault="005D736B" w:rsidP="003508CC">
            <w:pPr>
              <w:pStyle w:val="ListeParagraf"/>
              <w:ind w:left="0"/>
            </w:pP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</w:tr>
      <w:tr w:rsidR="005D736B" w:rsidTr="003508CC">
        <w:trPr>
          <w:trHeight w:val="70"/>
        </w:trPr>
        <w:tc>
          <w:tcPr>
            <w:tcW w:w="5585" w:type="dxa"/>
            <w:gridSpan w:val="3"/>
            <w:tcBorders>
              <w:righ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  <w:r>
              <w:rPr>
                <w:noProof/>
              </w:rPr>
              <w:drawing>
                <wp:inline distT="0" distB="0" distL="0" distR="0">
                  <wp:extent cx="2286000" cy="257175"/>
                  <wp:effectExtent l="19050" t="0" r="0" b="0"/>
                  <wp:docPr id="34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</w:tr>
      <w:tr w:rsidR="005D736B" w:rsidTr="003508CC">
        <w:tc>
          <w:tcPr>
            <w:tcW w:w="1121" w:type="dxa"/>
            <w:gridSpan w:val="2"/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Adres:</w:t>
            </w:r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Telefon:</w:t>
            </w:r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E- Posta:</w:t>
            </w:r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Web sayfası 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44 </w:t>
            </w:r>
            <w:proofErr w:type="spellStart"/>
            <w:r w:rsidRPr="00EA6518">
              <w:rPr>
                <w:sz w:val="16"/>
                <w:szCs w:val="16"/>
              </w:rPr>
              <w:t>Beolmal</w:t>
            </w:r>
            <w:proofErr w:type="spellEnd"/>
            <w:r w:rsidRPr="00EA6518">
              <w:rPr>
                <w:sz w:val="16"/>
                <w:szCs w:val="16"/>
              </w:rPr>
              <w:t>-</w:t>
            </w:r>
            <w:proofErr w:type="spellStart"/>
            <w:r w:rsidRPr="00EA6518">
              <w:rPr>
                <w:sz w:val="16"/>
                <w:szCs w:val="16"/>
              </w:rPr>
              <w:t>ro</w:t>
            </w:r>
            <w:proofErr w:type="spellEnd"/>
            <w:r w:rsidRPr="00EA6518">
              <w:rPr>
                <w:sz w:val="16"/>
                <w:szCs w:val="16"/>
              </w:rPr>
              <w:t xml:space="preserve">, </w:t>
            </w:r>
            <w:proofErr w:type="spellStart"/>
            <w:r w:rsidRPr="00EA6518">
              <w:rPr>
                <w:sz w:val="16"/>
                <w:szCs w:val="16"/>
              </w:rPr>
              <w:t>Dongan</w:t>
            </w:r>
            <w:proofErr w:type="spellEnd"/>
            <w:r w:rsidRPr="00EA6518">
              <w:rPr>
                <w:sz w:val="16"/>
                <w:szCs w:val="16"/>
              </w:rPr>
              <w:t>-</w:t>
            </w:r>
            <w:proofErr w:type="spellStart"/>
            <w:r w:rsidRPr="00EA6518">
              <w:rPr>
                <w:sz w:val="16"/>
                <w:szCs w:val="16"/>
              </w:rPr>
              <w:t>gu</w:t>
            </w:r>
            <w:proofErr w:type="spellEnd"/>
            <w:r w:rsidRPr="00EA6518">
              <w:rPr>
                <w:sz w:val="16"/>
                <w:szCs w:val="16"/>
              </w:rPr>
              <w:t xml:space="preserve">, </w:t>
            </w:r>
            <w:proofErr w:type="spellStart"/>
            <w:r w:rsidRPr="00EA6518">
              <w:rPr>
                <w:sz w:val="16"/>
                <w:szCs w:val="16"/>
              </w:rPr>
              <w:t>Anyang</w:t>
            </w:r>
            <w:proofErr w:type="spellEnd"/>
            <w:r w:rsidRPr="00EA651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A6518">
              <w:rPr>
                <w:sz w:val="16"/>
                <w:szCs w:val="16"/>
              </w:rPr>
              <w:t>Gyeonggi</w:t>
            </w:r>
            <w:proofErr w:type="spellEnd"/>
            <w:r w:rsidRPr="00EA6518">
              <w:rPr>
                <w:sz w:val="16"/>
                <w:szCs w:val="16"/>
              </w:rPr>
              <w:t>.do</w:t>
            </w:r>
            <w:proofErr w:type="gramEnd"/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Posta kodu 431-804/ Kore Cumhuriyeti </w:t>
            </w:r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+ 82-31-422-7890/Faks: 82-31-422-7866</w:t>
            </w:r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hyperlink r:id="rId12" w:history="1">
              <w:r w:rsidRPr="00EA6518">
                <w:rPr>
                  <w:rStyle w:val="Kpr"/>
                  <w:color w:val="auto"/>
                  <w:sz w:val="16"/>
                  <w:szCs w:val="16"/>
                  <w:u w:val="none"/>
                </w:rPr>
                <w:t>İnfo@centrons.com</w:t>
              </w:r>
            </w:hyperlink>
          </w:p>
          <w:p w:rsidR="005D736B" w:rsidRPr="00EA6518" w:rsidRDefault="005D736B" w:rsidP="003508CC">
            <w:pPr>
              <w:pStyle w:val="ListeParagraf"/>
              <w:ind w:left="0"/>
              <w:rPr>
                <w:sz w:val="16"/>
                <w:szCs w:val="16"/>
              </w:rPr>
            </w:pPr>
            <w:hyperlink r:id="rId13" w:history="1">
              <w:r w:rsidRPr="00EA6518">
                <w:rPr>
                  <w:rStyle w:val="Kpr"/>
                  <w:color w:val="auto"/>
                  <w:sz w:val="16"/>
                  <w:szCs w:val="16"/>
                  <w:u w:val="none"/>
                </w:rPr>
                <w:t>www.cemtrons.com</w:t>
              </w:r>
            </w:hyperlink>
            <w:r w:rsidRPr="00EA65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  <w:tc>
          <w:tcPr>
            <w:tcW w:w="3786" w:type="dxa"/>
            <w:vMerge/>
            <w:tcBorders>
              <w:left w:val="single" w:sz="4" w:space="0" w:color="auto"/>
            </w:tcBorders>
          </w:tcPr>
          <w:p w:rsidR="005D736B" w:rsidRDefault="005D736B" w:rsidP="003508CC">
            <w:pPr>
              <w:pStyle w:val="ListeParagraf"/>
              <w:ind w:left="0"/>
            </w:pPr>
          </w:p>
        </w:tc>
      </w:tr>
    </w:tbl>
    <w:p w:rsidR="005D736B" w:rsidRDefault="005D736B"/>
    <w:sectPr w:rsidR="005D736B" w:rsidSect="00EA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E6F"/>
    <w:multiLevelType w:val="hybridMultilevel"/>
    <w:tmpl w:val="E648E3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C565D"/>
    <w:multiLevelType w:val="hybridMultilevel"/>
    <w:tmpl w:val="EE1677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94956"/>
    <w:multiLevelType w:val="hybridMultilevel"/>
    <w:tmpl w:val="5D747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82123"/>
    <w:multiLevelType w:val="hybridMultilevel"/>
    <w:tmpl w:val="050E4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6F25"/>
    <w:rsid w:val="00036453"/>
    <w:rsid w:val="000557DB"/>
    <w:rsid w:val="00071E51"/>
    <w:rsid w:val="000B1A14"/>
    <w:rsid w:val="00130ED7"/>
    <w:rsid w:val="001846F2"/>
    <w:rsid w:val="001C63D1"/>
    <w:rsid w:val="001E1C95"/>
    <w:rsid w:val="00224F5D"/>
    <w:rsid w:val="00241ECB"/>
    <w:rsid w:val="00250B5B"/>
    <w:rsid w:val="00252E38"/>
    <w:rsid w:val="00303974"/>
    <w:rsid w:val="003861DA"/>
    <w:rsid w:val="003E64E4"/>
    <w:rsid w:val="003F4A9C"/>
    <w:rsid w:val="00407837"/>
    <w:rsid w:val="00425D1A"/>
    <w:rsid w:val="00444BA9"/>
    <w:rsid w:val="004D6F25"/>
    <w:rsid w:val="004E2DBE"/>
    <w:rsid w:val="0050326F"/>
    <w:rsid w:val="00592158"/>
    <w:rsid w:val="005D736B"/>
    <w:rsid w:val="006571FE"/>
    <w:rsid w:val="006B6359"/>
    <w:rsid w:val="00715E6E"/>
    <w:rsid w:val="00727789"/>
    <w:rsid w:val="0073741D"/>
    <w:rsid w:val="0076003B"/>
    <w:rsid w:val="007A5517"/>
    <w:rsid w:val="007F1881"/>
    <w:rsid w:val="008F27FD"/>
    <w:rsid w:val="009124D5"/>
    <w:rsid w:val="009377FD"/>
    <w:rsid w:val="009C71AC"/>
    <w:rsid w:val="009E2E9E"/>
    <w:rsid w:val="00A17BD0"/>
    <w:rsid w:val="00AA02F6"/>
    <w:rsid w:val="00AB451D"/>
    <w:rsid w:val="00B14D01"/>
    <w:rsid w:val="00B334A6"/>
    <w:rsid w:val="00B401F8"/>
    <w:rsid w:val="00B46D86"/>
    <w:rsid w:val="00B95CEC"/>
    <w:rsid w:val="00BA7FF8"/>
    <w:rsid w:val="00BF52AD"/>
    <w:rsid w:val="00BF7A3E"/>
    <w:rsid w:val="00C5376A"/>
    <w:rsid w:val="00D856CA"/>
    <w:rsid w:val="00DC59F3"/>
    <w:rsid w:val="00E7093E"/>
    <w:rsid w:val="00EA1783"/>
    <w:rsid w:val="00EE1A74"/>
    <w:rsid w:val="00F4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D6F25"/>
    <w:pPr>
      <w:ind w:left="720"/>
      <w:contextualSpacing/>
    </w:pPr>
  </w:style>
  <w:style w:type="table" w:styleId="TabloKlavuzu">
    <w:name w:val="Table Grid"/>
    <w:basedOn w:val="NormalTablo"/>
    <w:uiPriority w:val="59"/>
    <w:rsid w:val="005D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D7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cemtr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&#304;nfo@centr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 Tercüme</dc:creator>
  <cp:keywords/>
  <dc:description/>
  <cp:lastModifiedBy>Mim Tercüme</cp:lastModifiedBy>
  <cp:revision>3</cp:revision>
  <cp:lastPrinted>2018-03-21T16:35:00Z</cp:lastPrinted>
  <dcterms:created xsi:type="dcterms:W3CDTF">2018-03-21T16:15:00Z</dcterms:created>
  <dcterms:modified xsi:type="dcterms:W3CDTF">2018-03-21T16:35:00Z</dcterms:modified>
</cp:coreProperties>
</file>